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BA5AB" w14:textId="77777777" w:rsidR="00116850" w:rsidRPr="00116850" w:rsidRDefault="00116850" w:rsidP="00116850">
      <w:pPr>
        <w:spacing w:after="0" w:line="30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bookmarkStart w:id="0" w:name="_GoBack"/>
      <w:bookmarkEnd w:id="0"/>
      <w:r w:rsidRPr="00116850">
        <w:rPr>
          <w:rFonts w:eastAsia="Times New Roman" w:cstheme="minorHAnsi"/>
          <w:b/>
          <w:color w:val="000000"/>
          <w:sz w:val="28"/>
          <w:szCs w:val="28"/>
        </w:rPr>
        <w:t>W. R. Berkley Corporation</w:t>
      </w:r>
    </w:p>
    <w:p w14:paraId="69EF6078" w14:textId="4266FF94" w:rsidR="00116850" w:rsidRPr="00116850" w:rsidRDefault="008F3209" w:rsidP="00116850">
      <w:pPr>
        <w:spacing w:after="0" w:line="30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Notice of Personal Information Collected</w:t>
      </w:r>
    </w:p>
    <w:p w14:paraId="1F54C326" w14:textId="77777777" w:rsidR="00116850" w:rsidRPr="00116850" w:rsidRDefault="00116850" w:rsidP="00116850">
      <w:pPr>
        <w:spacing w:after="0" w:line="30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116850">
        <w:rPr>
          <w:rFonts w:eastAsia="Times New Roman" w:cstheme="minorHAnsi"/>
          <w:b/>
          <w:color w:val="000000"/>
          <w:sz w:val="28"/>
          <w:szCs w:val="28"/>
        </w:rPr>
        <w:t>(Pursuant to the California Consumer Privacy Act (CCPA))</w:t>
      </w:r>
    </w:p>
    <w:p w14:paraId="11CF3D55" w14:textId="2832EA98" w:rsidR="00116850" w:rsidRPr="00116850" w:rsidRDefault="00116850" w:rsidP="0011685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116850">
        <w:rPr>
          <w:rFonts w:eastAsia="Times New Roman" w:cstheme="minorHAnsi"/>
          <w:color w:val="000000"/>
        </w:rPr>
        <w:t xml:space="preserve">This </w:t>
      </w:r>
      <w:r w:rsidR="008F3209">
        <w:rPr>
          <w:rFonts w:eastAsia="Times New Roman" w:cstheme="minorHAnsi"/>
          <w:color w:val="000000"/>
        </w:rPr>
        <w:t>notice</w:t>
      </w:r>
      <w:r w:rsidRPr="00116850">
        <w:rPr>
          <w:rFonts w:eastAsia="Times New Roman" w:cstheme="minorHAnsi"/>
          <w:color w:val="000000"/>
        </w:rPr>
        <w:t xml:space="preserve"> applies only to information received and collected by W. R. Berkley Corporation (“Berkley”) from residents of the state of California.</w:t>
      </w:r>
    </w:p>
    <w:p w14:paraId="5670A604" w14:textId="750CE48A" w:rsidR="00116850" w:rsidRPr="00116850" w:rsidRDefault="00116850" w:rsidP="0011685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116850">
        <w:rPr>
          <w:rFonts w:eastAsia="Times New Roman" w:cstheme="minorHAnsi"/>
          <w:color w:val="000000"/>
        </w:rPr>
        <w:t xml:space="preserve">In this </w:t>
      </w:r>
      <w:r w:rsidR="008F3209">
        <w:rPr>
          <w:rFonts w:eastAsia="Times New Roman" w:cstheme="minorHAnsi"/>
          <w:color w:val="000000"/>
        </w:rPr>
        <w:t>notice</w:t>
      </w:r>
      <w:r w:rsidRPr="00116850">
        <w:rPr>
          <w:rFonts w:eastAsia="Times New Roman" w:cstheme="minorHAnsi"/>
          <w:color w:val="000000"/>
        </w:rPr>
        <w:t xml:space="preserve">, when we refer to “we”, “us” or “our”, it means one or more operating units of W. R. Berkley Corporation (“Berkley operating units”).  </w:t>
      </w:r>
    </w:p>
    <w:p w14:paraId="70902EEA" w14:textId="0CDCD6BF" w:rsidR="00845A4E" w:rsidRPr="002E43FC" w:rsidRDefault="00116850" w:rsidP="002E43FC">
      <w:r w:rsidRPr="00116850">
        <w:rPr>
          <w:rFonts w:eastAsia="Times New Roman" w:cstheme="minorHAnsi"/>
          <w:color w:val="000000"/>
        </w:rPr>
        <w:t xml:space="preserve">When we refer to “you” and “your” in this </w:t>
      </w:r>
      <w:r w:rsidR="008F3209">
        <w:rPr>
          <w:rFonts w:eastAsia="Times New Roman" w:cstheme="minorHAnsi"/>
          <w:color w:val="000000"/>
        </w:rPr>
        <w:t>notice</w:t>
      </w:r>
      <w:r w:rsidRPr="00116850">
        <w:rPr>
          <w:rFonts w:eastAsia="Times New Roman" w:cstheme="minorHAnsi"/>
          <w:color w:val="000000"/>
        </w:rPr>
        <w:t xml:space="preserve">, we mean a resident of the state of California whose personal information we may collect. More information about W. R. Berkley Corporation operating unit subsidiaries can be found on </w:t>
      </w:r>
      <w:hyperlink r:id="rId10" w:history="1">
        <w:r w:rsidR="002E43FC">
          <w:rPr>
            <w:rStyle w:val="Hyperlink"/>
          </w:rPr>
          <w:t>https://www.berkley.com/our-business/operating-units</w:t>
        </w:r>
      </w:hyperlink>
      <w:r w:rsidRPr="00116850">
        <w:rPr>
          <w:rFonts w:eastAsia="Times New Roman" w:cstheme="minorHAnsi"/>
          <w:color w:val="000000"/>
        </w:rPr>
        <w:t>.</w:t>
      </w:r>
    </w:p>
    <w:p w14:paraId="2FDC9EE8" w14:textId="19C6971E" w:rsidR="000164B9" w:rsidRPr="000164B9" w:rsidRDefault="000164B9" w:rsidP="00116850">
      <w:pPr>
        <w:spacing w:after="0" w:line="240" w:lineRule="auto"/>
        <w:rPr>
          <w:b/>
        </w:rPr>
      </w:pPr>
      <w:r>
        <w:t xml:space="preserve">Below </w:t>
      </w:r>
      <w:r w:rsidR="006E35F5">
        <w:t xml:space="preserve">is a table showing </w:t>
      </w:r>
      <w:r>
        <w:t>the categories of personal information that one or more of the Berkley operating units collect in the course of performing insurance services</w:t>
      </w:r>
      <w:r w:rsidR="008F3209">
        <w:t xml:space="preserve"> and</w:t>
      </w:r>
      <w:r>
        <w:t xml:space="preserve"> how it is used,  Not every Berkley operating unit collects every category of personal information</w:t>
      </w:r>
      <w:r w:rsidR="008F3209">
        <w:t xml:space="preserve"> or uses it in all the ways listed below</w:t>
      </w:r>
      <w:r>
        <w:t>.</w:t>
      </w:r>
    </w:p>
    <w:p w14:paraId="5F7CDB4D" w14:textId="4A906F3B" w:rsidR="000164B9" w:rsidRDefault="000164B9" w:rsidP="00116850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4A0" w:firstRow="1" w:lastRow="0" w:firstColumn="1" w:lastColumn="0" w:noHBand="0" w:noVBand="1"/>
      </w:tblPr>
      <w:tblGrid>
        <w:gridCol w:w="4947"/>
        <w:gridCol w:w="4959"/>
      </w:tblGrid>
      <w:tr w:rsidR="008F3209" w:rsidRPr="006E35F5" w14:paraId="610C988E" w14:textId="77777777" w:rsidTr="00DB4ECA">
        <w:trPr>
          <w:cantSplit/>
        </w:trPr>
        <w:tc>
          <w:tcPr>
            <w:tcW w:w="2475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8786C79" w14:textId="77777777" w:rsidR="008F3209" w:rsidRPr="006E35F5" w:rsidRDefault="008F3209" w:rsidP="00AA6F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Personal Information </w:t>
            </w:r>
            <w:r w:rsidRPr="006E35F5">
              <w:rPr>
                <w:rFonts w:cstheme="minorHAnsi"/>
                <w:b/>
              </w:rPr>
              <w:t>Category</w:t>
            </w:r>
          </w:p>
        </w:tc>
        <w:tc>
          <w:tcPr>
            <w:tcW w:w="2481" w:type="dxa"/>
            <w:shd w:val="clear" w:color="auto" w:fill="E2EFD9" w:themeFill="accent6" w:themeFillTint="33"/>
            <w:vAlign w:val="center"/>
          </w:tcPr>
          <w:p w14:paraId="3BFB1834" w14:textId="77777777" w:rsidR="008F3209" w:rsidRPr="006E35F5" w:rsidRDefault="008F3209" w:rsidP="00AA6F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it is Used</w:t>
            </w:r>
          </w:p>
        </w:tc>
      </w:tr>
      <w:tr w:rsidR="008F3209" w:rsidRPr="00C36B9D" w14:paraId="4B64C2FC" w14:textId="77777777" w:rsidTr="00DB4ECA">
        <w:trPr>
          <w:cantSplit/>
        </w:trPr>
        <w:tc>
          <w:tcPr>
            <w:tcW w:w="2475" w:type="dxa"/>
            <w:tcBorders>
              <w:bottom w:val="nil"/>
            </w:tcBorders>
          </w:tcPr>
          <w:p w14:paraId="3B456869" w14:textId="77777777" w:rsidR="008F3209" w:rsidRDefault="008F3209" w:rsidP="00AA6F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Identifiers</w:t>
            </w:r>
          </w:p>
          <w:p w14:paraId="70C36267" w14:textId="77777777" w:rsidR="008F3209" w:rsidRPr="006E35F5" w:rsidRDefault="008F3209" w:rsidP="00AA6F61">
            <w:pPr>
              <w:jc w:val="center"/>
              <w:rPr>
                <w:rFonts w:cstheme="minorHAnsi"/>
                <w:b/>
              </w:rPr>
            </w:pPr>
            <w:r w:rsidRPr="006E35F5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such as </w:t>
            </w:r>
            <w:r w:rsidRPr="006E35F5">
              <w:rPr>
                <w:rFonts w:cstheme="minorHAnsi"/>
              </w:rPr>
              <w:t>name</w:t>
            </w:r>
            <w:r>
              <w:rPr>
                <w:rFonts w:cstheme="minorHAnsi"/>
              </w:rPr>
              <w:t>, address, social security #, driver’s license #, etc.)</w:t>
            </w:r>
          </w:p>
        </w:tc>
        <w:tc>
          <w:tcPr>
            <w:tcW w:w="2481" w:type="dxa"/>
            <w:vMerge w:val="restart"/>
            <w:vAlign w:val="center"/>
          </w:tcPr>
          <w:p w14:paraId="34B84D5B" w14:textId="77777777" w:rsidR="008F3209" w:rsidRPr="006E35F5" w:rsidRDefault="008F3209" w:rsidP="00AA6F61">
            <w:pPr>
              <w:rPr>
                <w:rFonts w:cstheme="minorHAnsi"/>
              </w:rPr>
            </w:pPr>
            <w:r w:rsidRPr="006E35F5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perform insurance services for policyholders/ beneficiaries/claimants; maintain and improve quality of services; security; prevent fraud and improper use; internal research; identify and repair errors; comply with laws and regulations. </w:t>
            </w:r>
          </w:p>
        </w:tc>
      </w:tr>
      <w:tr w:rsidR="008F3209" w:rsidRPr="00C36B9D" w14:paraId="7A3A3AE5" w14:textId="77777777" w:rsidTr="00DB4ECA">
        <w:trPr>
          <w:cantSplit/>
        </w:trPr>
        <w:tc>
          <w:tcPr>
            <w:tcW w:w="2475" w:type="dxa"/>
            <w:tcBorders>
              <w:top w:val="nil"/>
              <w:bottom w:val="nil"/>
            </w:tcBorders>
          </w:tcPr>
          <w:p w14:paraId="52FAC472" w14:textId="58672F80" w:rsidR="008F3209" w:rsidRDefault="008F3209" w:rsidP="00DB4E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 Sensitive Information under California Law</w:t>
            </w:r>
          </w:p>
          <w:p w14:paraId="6EDCA5B1" w14:textId="109C54A0" w:rsidR="008F3209" w:rsidRPr="00DB4ECA" w:rsidRDefault="008F3209" w:rsidP="00DB4ECA">
            <w:pPr>
              <w:jc w:val="center"/>
              <w:rPr>
                <w:rFonts w:cstheme="minorHAnsi"/>
                <w:i/>
              </w:rPr>
            </w:pPr>
            <w:r w:rsidRPr="00FE31D6">
              <w:rPr>
                <w:rFonts w:cstheme="minorHAnsi"/>
                <w:i/>
              </w:rPr>
              <w:t>(Examples: physical description, financial information, medical information, etc.)</w:t>
            </w:r>
          </w:p>
        </w:tc>
        <w:tc>
          <w:tcPr>
            <w:tcW w:w="2481" w:type="dxa"/>
            <w:vMerge/>
          </w:tcPr>
          <w:p w14:paraId="61FB66C8" w14:textId="77777777" w:rsidR="008F3209" w:rsidRPr="00C36B9D" w:rsidRDefault="008F3209" w:rsidP="00AA6F61">
            <w:pPr>
              <w:rPr>
                <w:rFonts w:cstheme="minorHAnsi"/>
              </w:rPr>
            </w:pPr>
          </w:p>
        </w:tc>
      </w:tr>
      <w:tr w:rsidR="008F3209" w:rsidRPr="00C36B9D" w14:paraId="28B63972" w14:textId="77777777" w:rsidTr="00DB4ECA">
        <w:trPr>
          <w:cantSplit/>
        </w:trPr>
        <w:tc>
          <w:tcPr>
            <w:tcW w:w="2475" w:type="dxa"/>
            <w:tcBorders>
              <w:top w:val="nil"/>
              <w:bottom w:val="nil"/>
            </w:tcBorders>
          </w:tcPr>
          <w:p w14:paraId="26F26F76" w14:textId="77777777" w:rsidR="008F3209" w:rsidRDefault="008F3209" w:rsidP="00AA6F61">
            <w:pPr>
              <w:jc w:val="center"/>
              <w:rPr>
                <w:rFonts w:cstheme="minorHAnsi"/>
              </w:rPr>
            </w:pPr>
            <w:r w:rsidRPr="008C3FF0">
              <w:rPr>
                <w:rFonts w:cstheme="minorHAnsi"/>
                <w:b/>
              </w:rPr>
              <w:t>Characteristics of protected classifications under California or federal law</w:t>
            </w:r>
          </w:p>
          <w:p w14:paraId="3DAAB68B" w14:textId="77777777" w:rsidR="008F3209" w:rsidRPr="00FE31D6" w:rsidRDefault="008F3209" w:rsidP="00AA6F61">
            <w:pPr>
              <w:jc w:val="center"/>
              <w:rPr>
                <w:rFonts w:cstheme="minorHAnsi"/>
                <w:i/>
              </w:rPr>
            </w:pPr>
            <w:r w:rsidRPr="00FE31D6">
              <w:rPr>
                <w:rFonts w:cstheme="minorHAnsi"/>
                <w:i/>
              </w:rPr>
              <w:t>(Examples:  race, sex, color, religion, national origin, marital status, etc.)</w:t>
            </w:r>
          </w:p>
        </w:tc>
        <w:tc>
          <w:tcPr>
            <w:tcW w:w="2481" w:type="dxa"/>
            <w:vMerge/>
          </w:tcPr>
          <w:p w14:paraId="31CD8538" w14:textId="77777777" w:rsidR="008F3209" w:rsidRPr="00C36B9D" w:rsidRDefault="008F3209" w:rsidP="00AA6F61">
            <w:pPr>
              <w:rPr>
                <w:rFonts w:cstheme="minorHAnsi"/>
              </w:rPr>
            </w:pPr>
          </w:p>
        </w:tc>
      </w:tr>
      <w:tr w:rsidR="008F3209" w:rsidRPr="00C36B9D" w14:paraId="683D4DB7" w14:textId="77777777" w:rsidTr="00DB4ECA">
        <w:trPr>
          <w:cantSplit/>
        </w:trPr>
        <w:tc>
          <w:tcPr>
            <w:tcW w:w="2475" w:type="dxa"/>
            <w:tcBorders>
              <w:top w:val="nil"/>
              <w:bottom w:val="nil"/>
            </w:tcBorders>
          </w:tcPr>
          <w:p w14:paraId="6CDA404F" w14:textId="0996363E" w:rsidR="008F3209" w:rsidRDefault="008F3209" w:rsidP="00DB4ECA">
            <w:pPr>
              <w:jc w:val="center"/>
              <w:rPr>
                <w:rFonts w:cstheme="minorHAnsi"/>
                <w:b/>
              </w:rPr>
            </w:pPr>
            <w:r w:rsidRPr="00FE31D6">
              <w:rPr>
                <w:rFonts w:cstheme="minorHAnsi"/>
                <w:b/>
              </w:rPr>
              <w:t>Biometric information</w:t>
            </w:r>
          </w:p>
          <w:p w14:paraId="0BE20479" w14:textId="77777777" w:rsidR="008F3209" w:rsidRPr="00FE31D6" w:rsidRDefault="008F3209" w:rsidP="00AA6F61">
            <w:pPr>
              <w:jc w:val="center"/>
              <w:rPr>
                <w:rFonts w:cstheme="minorHAnsi"/>
                <w:i/>
              </w:rPr>
            </w:pPr>
            <w:r w:rsidRPr="00FE31D6">
              <w:rPr>
                <w:rFonts w:cstheme="minorHAnsi"/>
                <w:i/>
              </w:rPr>
              <w:t>(Examples:  fingerprints, keystroke patterns, gait patterns, sleep/health data, etc.)</w:t>
            </w:r>
          </w:p>
        </w:tc>
        <w:tc>
          <w:tcPr>
            <w:tcW w:w="2481" w:type="dxa"/>
            <w:vMerge/>
          </w:tcPr>
          <w:p w14:paraId="36F33203" w14:textId="77777777" w:rsidR="008F3209" w:rsidRPr="00C36B9D" w:rsidRDefault="008F3209" w:rsidP="00AA6F61">
            <w:pPr>
              <w:rPr>
                <w:rFonts w:cstheme="minorHAnsi"/>
              </w:rPr>
            </w:pPr>
          </w:p>
        </w:tc>
      </w:tr>
      <w:tr w:rsidR="008F3209" w:rsidRPr="006E35F5" w14:paraId="3E576CA4" w14:textId="77777777" w:rsidTr="00DB4ECA">
        <w:trPr>
          <w:cantSplit/>
        </w:trPr>
        <w:tc>
          <w:tcPr>
            <w:tcW w:w="2475" w:type="dxa"/>
            <w:tcBorders>
              <w:top w:val="nil"/>
              <w:bottom w:val="nil"/>
            </w:tcBorders>
          </w:tcPr>
          <w:p w14:paraId="03FB91B8" w14:textId="62AB9BD9" w:rsidR="008F3209" w:rsidRDefault="008F3209" w:rsidP="00DB4E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Geolocation Data</w:t>
            </w:r>
          </w:p>
          <w:p w14:paraId="6511EC6D" w14:textId="77777777" w:rsidR="008F3209" w:rsidRPr="006619FF" w:rsidRDefault="008F3209" w:rsidP="00AA6F61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(Information to identify physical location)</w:t>
            </w:r>
          </w:p>
        </w:tc>
        <w:tc>
          <w:tcPr>
            <w:tcW w:w="2481" w:type="dxa"/>
            <w:vMerge/>
          </w:tcPr>
          <w:p w14:paraId="74701450" w14:textId="77777777" w:rsidR="008F3209" w:rsidRPr="00F653B8" w:rsidRDefault="008F3209" w:rsidP="00AA6F61">
            <w:pPr>
              <w:rPr>
                <w:rFonts w:cstheme="minorHAnsi"/>
              </w:rPr>
            </w:pPr>
          </w:p>
        </w:tc>
      </w:tr>
      <w:tr w:rsidR="008F3209" w:rsidRPr="006E35F5" w14:paraId="2FBD4DBC" w14:textId="77777777" w:rsidTr="00DB4ECA">
        <w:trPr>
          <w:cantSplit/>
        </w:trPr>
        <w:tc>
          <w:tcPr>
            <w:tcW w:w="2475" w:type="dxa"/>
            <w:tcBorders>
              <w:top w:val="nil"/>
              <w:bottom w:val="nil"/>
            </w:tcBorders>
          </w:tcPr>
          <w:p w14:paraId="17FE1724" w14:textId="6C86BDEE" w:rsidR="008F3209" w:rsidRDefault="008F3209" w:rsidP="00DB4ECA">
            <w:pPr>
              <w:jc w:val="center"/>
              <w:rPr>
                <w:rFonts w:cstheme="minorHAnsi"/>
                <w:b/>
              </w:rPr>
            </w:pPr>
            <w:r w:rsidRPr="00D95413">
              <w:rPr>
                <w:rFonts w:cstheme="minorHAnsi"/>
                <w:b/>
              </w:rPr>
              <w:t>Audio, electronic, visual, thermal, olfactory, or similar information.</w:t>
            </w:r>
          </w:p>
          <w:p w14:paraId="09CA73C8" w14:textId="77777777" w:rsidR="008F3209" w:rsidRPr="00D95413" w:rsidRDefault="008F3209" w:rsidP="00AA6F61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(Examples: audio and video recordings)</w:t>
            </w:r>
          </w:p>
        </w:tc>
        <w:tc>
          <w:tcPr>
            <w:tcW w:w="2481" w:type="dxa"/>
            <w:vMerge/>
          </w:tcPr>
          <w:p w14:paraId="44DE5B0A" w14:textId="77777777" w:rsidR="008F3209" w:rsidRPr="006E35F5" w:rsidRDefault="008F3209" w:rsidP="00AA6F61">
            <w:pPr>
              <w:rPr>
                <w:rFonts w:cstheme="minorHAnsi"/>
                <w:b/>
              </w:rPr>
            </w:pPr>
          </w:p>
        </w:tc>
      </w:tr>
      <w:tr w:rsidR="008F3209" w:rsidRPr="005B4EB0" w14:paraId="20468519" w14:textId="77777777" w:rsidTr="00DB4ECA">
        <w:trPr>
          <w:cantSplit/>
        </w:trPr>
        <w:tc>
          <w:tcPr>
            <w:tcW w:w="2475" w:type="dxa"/>
            <w:tcBorders>
              <w:top w:val="nil"/>
              <w:bottom w:val="nil"/>
            </w:tcBorders>
          </w:tcPr>
          <w:p w14:paraId="0C5C0030" w14:textId="77777777" w:rsidR="008F3209" w:rsidRDefault="008F3209" w:rsidP="00AA6F61">
            <w:pPr>
              <w:jc w:val="center"/>
              <w:rPr>
                <w:rFonts w:cstheme="minorHAnsi"/>
                <w:b/>
              </w:rPr>
            </w:pPr>
            <w:r w:rsidRPr="00D95413">
              <w:rPr>
                <w:rFonts w:cstheme="minorHAnsi"/>
                <w:b/>
              </w:rPr>
              <w:t>Professional or employment-related information.</w:t>
            </w:r>
          </w:p>
          <w:p w14:paraId="407FF194" w14:textId="77777777" w:rsidR="008F3209" w:rsidRPr="005B4EB0" w:rsidRDefault="008F3209" w:rsidP="00AA6F61">
            <w:pPr>
              <w:jc w:val="center"/>
              <w:rPr>
                <w:rFonts w:cstheme="minorHAnsi"/>
                <w:i/>
              </w:rPr>
            </w:pPr>
            <w:r w:rsidRPr="005B4EB0">
              <w:rPr>
                <w:rFonts w:cstheme="minorHAnsi"/>
                <w:i/>
              </w:rPr>
              <w:t>(Example:</w:t>
            </w:r>
            <w:r>
              <w:rPr>
                <w:rFonts w:cstheme="minorHAnsi"/>
                <w:i/>
              </w:rPr>
              <w:t xml:space="preserve"> job history)</w:t>
            </w:r>
          </w:p>
        </w:tc>
        <w:tc>
          <w:tcPr>
            <w:tcW w:w="2481" w:type="dxa"/>
            <w:vMerge/>
          </w:tcPr>
          <w:p w14:paraId="0F51F220" w14:textId="77777777" w:rsidR="008F3209" w:rsidRPr="005B4EB0" w:rsidRDefault="008F3209" w:rsidP="00AA6F61">
            <w:pPr>
              <w:rPr>
                <w:rFonts w:cstheme="minorHAnsi"/>
              </w:rPr>
            </w:pPr>
          </w:p>
        </w:tc>
      </w:tr>
      <w:tr w:rsidR="008F3209" w:rsidRPr="006E35F5" w14:paraId="069E95CB" w14:textId="77777777" w:rsidTr="00DB4ECA">
        <w:trPr>
          <w:cantSplit/>
        </w:trPr>
        <w:tc>
          <w:tcPr>
            <w:tcW w:w="2475" w:type="dxa"/>
            <w:tcBorders>
              <w:top w:val="nil"/>
            </w:tcBorders>
          </w:tcPr>
          <w:p w14:paraId="08935D34" w14:textId="08313519" w:rsidR="008F3209" w:rsidRDefault="008F3209" w:rsidP="00DB4ECA">
            <w:pPr>
              <w:jc w:val="center"/>
            </w:pPr>
            <w:r w:rsidRPr="00102612">
              <w:rPr>
                <w:b/>
              </w:rPr>
              <w:t>Education information</w:t>
            </w:r>
          </w:p>
          <w:p w14:paraId="186B529C" w14:textId="77777777" w:rsidR="008F3209" w:rsidRPr="005B4EB0" w:rsidRDefault="008F3209" w:rsidP="00AA6F61">
            <w:pPr>
              <w:jc w:val="center"/>
              <w:rPr>
                <w:rFonts w:cstheme="minorHAnsi"/>
              </w:rPr>
            </w:pPr>
            <w:r>
              <w:t>(information not publicly available as defined under federal law)</w:t>
            </w:r>
          </w:p>
        </w:tc>
        <w:tc>
          <w:tcPr>
            <w:tcW w:w="2481" w:type="dxa"/>
            <w:vMerge/>
          </w:tcPr>
          <w:p w14:paraId="68240747" w14:textId="77777777" w:rsidR="008F3209" w:rsidRPr="006E35F5" w:rsidRDefault="008F3209" w:rsidP="00AA6F61">
            <w:pPr>
              <w:rPr>
                <w:rFonts w:cstheme="minorHAnsi"/>
                <w:b/>
              </w:rPr>
            </w:pPr>
          </w:p>
        </w:tc>
      </w:tr>
      <w:tr w:rsidR="008F3209" w:rsidRPr="00C36B9D" w14:paraId="46016387" w14:textId="77777777" w:rsidTr="00DB4ECA">
        <w:trPr>
          <w:cantSplit/>
        </w:trPr>
        <w:tc>
          <w:tcPr>
            <w:tcW w:w="2475" w:type="dxa"/>
          </w:tcPr>
          <w:p w14:paraId="5247F798" w14:textId="2CF3DBD5" w:rsidR="008F3209" w:rsidRPr="00DB4ECA" w:rsidRDefault="008F3209" w:rsidP="00DB4ECA">
            <w:pPr>
              <w:jc w:val="center"/>
              <w:rPr>
                <w:rFonts w:cstheme="minorHAnsi"/>
              </w:rPr>
            </w:pPr>
            <w:r w:rsidRPr="00FE31D6">
              <w:rPr>
                <w:rFonts w:cstheme="minorHAnsi"/>
                <w:b/>
              </w:rPr>
              <w:t>Commercial information</w:t>
            </w:r>
          </w:p>
          <w:p w14:paraId="2DF25C95" w14:textId="77777777" w:rsidR="008F3209" w:rsidRPr="00FE31D6" w:rsidRDefault="008F3209" w:rsidP="00AA6F61">
            <w:pPr>
              <w:jc w:val="center"/>
              <w:rPr>
                <w:rFonts w:cstheme="minorHAnsi"/>
                <w:i/>
              </w:rPr>
            </w:pPr>
            <w:r w:rsidRPr="00FE31D6">
              <w:rPr>
                <w:rFonts w:cstheme="minorHAnsi"/>
                <w:i/>
              </w:rPr>
              <w:t>(Examples: records of personal property, products, and services purchased or obtained, etc.)</w:t>
            </w:r>
          </w:p>
        </w:tc>
        <w:tc>
          <w:tcPr>
            <w:tcW w:w="2481" w:type="dxa"/>
          </w:tcPr>
          <w:p w14:paraId="5533CCE3" w14:textId="77777777" w:rsidR="008F3209" w:rsidRPr="00C36B9D" w:rsidRDefault="008F3209" w:rsidP="00AA6F61">
            <w:pPr>
              <w:rPr>
                <w:rFonts w:cstheme="minorHAnsi"/>
              </w:rPr>
            </w:pPr>
            <w:r w:rsidRPr="00FE31D6">
              <w:rPr>
                <w:rFonts w:cstheme="minorHAnsi"/>
              </w:rPr>
              <w:t>To perform insurance services for policyh</w:t>
            </w:r>
            <w:r>
              <w:rPr>
                <w:rFonts w:cstheme="minorHAnsi"/>
              </w:rPr>
              <w:t>olders/ beneficiaries/claimants</w:t>
            </w:r>
            <w:r w:rsidRPr="00FE31D6">
              <w:rPr>
                <w:rFonts w:cstheme="minorHAnsi"/>
              </w:rPr>
              <w:t xml:space="preserve">; security; prevent fraud and improper use; internal research; </w:t>
            </w:r>
            <w:r>
              <w:rPr>
                <w:rFonts w:cstheme="minorHAnsi"/>
              </w:rPr>
              <w:t xml:space="preserve">collections; </w:t>
            </w:r>
            <w:r w:rsidRPr="00FE31D6">
              <w:rPr>
                <w:rFonts w:cstheme="minorHAnsi"/>
              </w:rPr>
              <w:t>comply with laws and regulations.</w:t>
            </w:r>
          </w:p>
        </w:tc>
      </w:tr>
      <w:tr w:rsidR="008F3209" w:rsidRPr="00C36B9D" w14:paraId="011347BE" w14:textId="77777777" w:rsidTr="00DB4ECA">
        <w:trPr>
          <w:cantSplit/>
        </w:trPr>
        <w:tc>
          <w:tcPr>
            <w:tcW w:w="2475" w:type="dxa"/>
          </w:tcPr>
          <w:p w14:paraId="38A676CB" w14:textId="56781423" w:rsidR="008F3209" w:rsidRDefault="008F3209" w:rsidP="00DB4ECA">
            <w:pPr>
              <w:jc w:val="center"/>
              <w:rPr>
                <w:b/>
              </w:rPr>
            </w:pPr>
            <w:r w:rsidRPr="00B67211">
              <w:rPr>
                <w:b/>
              </w:rPr>
              <w:lastRenderedPageBreak/>
              <w:t>Internet or other electronic network activity information</w:t>
            </w:r>
          </w:p>
          <w:p w14:paraId="65281619" w14:textId="77777777" w:rsidR="008F3209" w:rsidRPr="006619FF" w:rsidRDefault="008F3209" w:rsidP="00AA6F61">
            <w:pPr>
              <w:jc w:val="center"/>
              <w:rPr>
                <w:rFonts w:cstheme="minorHAnsi"/>
                <w:i/>
              </w:rPr>
            </w:pPr>
            <w:r>
              <w:rPr>
                <w:i/>
              </w:rPr>
              <w:t>(Examples:  browsing/search history, visitor’s interaction with a website, etc.)</w:t>
            </w:r>
          </w:p>
        </w:tc>
        <w:tc>
          <w:tcPr>
            <w:tcW w:w="2481" w:type="dxa"/>
          </w:tcPr>
          <w:p w14:paraId="5605C754" w14:textId="77777777" w:rsidR="008F3209" w:rsidRPr="00C36B9D" w:rsidRDefault="008F3209" w:rsidP="00AA6F61">
            <w:pPr>
              <w:rPr>
                <w:rFonts w:cstheme="minorHAnsi"/>
              </w:rPr>
            </w:pPr>
            <w:r w:rsidRPr="006619FF">
              <w:rPr>
                <w:rFonts w:cstheme="minorHAnsi"/>
              </w:rPr>
              <w:t>To perform insurance services for policyholders/ beneficiaries/claimants; maintain and improve quality of services; security; prevent fraud and improper use; internal research; identify and repair errors; comply with laws and regulations.</w:t>
            </w:r>
          </w:p>
        </w:tc>
      </w:tr>
      <w:tr w:rsidR="008F3209" w:rsidRPr="00CD1B2D" w14:paraId="43554461" w14:textId="77777777" w:rsidTr="00DB4ECA">
        <w:trPr>
          <w:cantSplit/>
        </w:trPr>
        <w:tc>
          <w:tcPr>
            <w:tcW w:w="2475" w:type="dxa"/>
          </w:tcPr>
          <w:p w14:paraId="23FF4618" w14:textId="1B4457BD" w:rsidR="008F3209" w:rsidRDefault="008F3209" w:rsidP="00DB4ECA">
            <w:pPr>
              <w:jc w:val="center"/>
              <w:rPr>
                <w:rFonts w:cstheme="minorHAnsi"/>
              </w:rPr>
            </w:pPr>
            <w:r w:rsidRPr="005B4EB0">
              <w:rPr>
                <w:rFonts w:cstheme="minorHAnsi"/>
                <w:b/>
              </w:rPr>
              <w:t>Inferences drawn from any of the other categories of information.</w:t>
            </w:r>
          </w:p>
          <w:p w14:paraId="1330D805" w14:textId="77777777" w:rsidR="008F3209" w:rsidRPr="005B4EB0" w:rsidRDefault="008F3209" w:rsidP="00AA6F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(use of any of the above categories to create a profile about a consumer)</w:t>
            </w:r>
          </w:p>
        </w:tc>
        <w:tc>
          <w:tcPr>
            <w:tcW w:w="2481" w:type="dxa"/>
          </w:tcPr>
          <w:p w14:paraId="3754489E" w14:textId="77777777" w:rsidR="008F3209" w:rsidRPr="00CD1B2D" w:rsidRDefault="008F3209" w:rsidP="00AA6F61">
            <w:pPr>
              <w:rPr>
                <w:rFonts w:cstheme="minorHAnsi"/>
              </w:rPr>
            </w:pPr>
            <w:r w:rsidRPr="00CD1B2D">
              <w:rPr>
                <w:rFonts w:cstheme="minorHAnsi"/>
              </w:rPr>
              <w:t>To perform insurance services for policyholders/ beneficiaries/claimants; maintain and improve quality of services; security; prevent fraud and improper use; internal research; identify and repair errors; comply with laws and regulations.</w:t>
            </w:r>
          </w:p>
        </w:tc>
      </w:tr>
    </w:tbl>
    <w:p w14:paraId="1E625C60" w14:textId="395EF6D6" w:rsidR="000164B9" w:rsidRDefault="000164B9" w:rsidP="00116850">
      <w:pPr>
        <w:spacing w:after="0" w:line="240" w:lineRule="auto"/>
        <w:rPr>
          <w:b/>
          <w:sz w:val="28"/>
          <w:szCs w:val="28"/>
        </w:rPr>
      </w:pPr>
    </w:p>
    <w:p w14:paraId="1A53D07B" w14:textId="0D4F3A44" w:rsidR="00F26FCE" w:rsidRPr="008F3209" w:rsidRDefault="00F26FCE" w:rsidP="00AE264F"/>
    <w:p w14:paraId="0E8C9C67" w14:textId="78C435E0" w:rsidR="00F26FCE" w:rsidRPr="00F26FCE" w:rsidRDefault="00F26FCE" w:rsidP="00AE264F">
      <w:pPr>
        <w:rPr>
          <w:sz w:val="28"/>
          <w:szCs w:val="28"/>
        </w:rPr>
      </w:pPr>
      <w:r w:rsidRPr="00F26FCE">
        <w:rPr>
          <w:b/>
          <w:sz w:val="28"/>
          <w:szCs w:val="28"/>
        </w:rPr>
        <w:t>NEED MORE INFORMATION?</w:t>
      </w:r>
      <w:r w:rsidRPr="00F26FCE">
        <w:rPr>
          <w:sz w:val="28"/>
          <w:szCs w:val="28"/>
        </w:rPr>
        <w:t xml:space="preserve">  </w:t>
      </w:r>
    </w:p>
    <w:p w14:paraId="5799F2F3" w14:textId="1A8D8B57" w:rsidR="00CF7B39" w:rsidRDefault="008F3209" w:rsidP="00AE264F">
      <w:r>
        <w:t xml:space="preserve">For additional information about how we collect, use, and </w:t>
      </w:r>
      <w:r w:rsidR="00510BAB">
        <w:t xml:space="preserve">share personal information, </w:t>
      </w:r>
      <w:r>
        <w:t xml:space="preserve">about </w:t>
      </w:r>
      <w:r w:rsidR="009D3F72">
        <w:t xml:space="preserve">California </w:t>
      </w:r>
      <w:r>
        <w:t>consumers’ rights under the CCPA,</w:t>
      </w:r>
      <w:r w:rsidR="00510BAB">
        <w:t xml:space="preserve"> and to make a consumer request,</w:t>
      </w:r>
      <w:r>
        <w:t xml:space="preserve"> please see our </w:t>
      </w:r>
      <w:r w:rsidR="009D3F72">
        <w:t xml:space="preserve">online </w:t>
      </w:r>
      <w:r>
        <w:t>Privacy Policy</w:t>
      </w:r>
      <w:r w:rsidR="009D3F72">
        <w:t xml:space="preserve"> at</w:t>
      </w:r>
      <w:r>
        <w:t xml:space="preserve">:  </w:t>
      </w:r>
      <w:hyperlink r:id="rId11" w:history="1">
        <w:r w:rsidR="002D711B">
          <w:rPr>
            <w:rStyle w:val="Hyperlink"/>
          </w:rPr>
          <w:t>https://www.berkley.com/privacy</w:t>
        </w:r>
      </w:hyperlink>
    </w:p>
    <w:p w14:paraId="6AC54C84" w14:textId="77777777" w:rsidR="002D711B" w:rsidRDefault="002D711B" w:rsidP="00AE264F"/>
    <w:p w14:paraId="038DFCDB" w14:textId="77777777" w:rsidR="002D711B" w:rsidRDefault="002D711B" w:rsidP="00AE264F"/>
    <w:p w14:paraId="4B4A130B" w14:textId="060E5BA6" w:rsidR="00CF7B39" w:rsidRPr="00AE264F" w:rsidRDefault="00F24479" w:rsidP="00AE264F">
      <w:r>
        <w:t xml:space="preserve">This </w:t>
      </w:r>
      <w:r w:rsidR="008F3209">
        <w:t>notice</w:t>
      </w:r>
      <w:r>
        <w:t xml:space="preserve"> was updated on </w:t>
      </w:r>
      <w:r w:rsidR="00344834">
        <w:t xml:space="preserve">December </w:t>
      </w:r>
      <w:r w:rsidR="000B66F4">
        <w:t>30</w:t>
      </w:r>
      <w:r>
        <w:t>, 2019</w:t>
      </w:r>
    </w:p>
    <w:sectPr w:rsidR="00CF7B39" w:rsidRPr="00AE264F" w:rsidSect="009D3F7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D48C1" w14:textId="77777777" w:rsidR="00483F0E" w:rsidRDefault="00483F0E" w:rsidP="00304FC0">
      <w:pPr>
        <w:spacing w:after="0" w:line="240" w:lineRule="auto"/>
      </w:pPr>
      <w:r>
        <w:separator/>
      </w:r>
    </w:p>
  </w:endnote>
  <w:endnote w:type="continuationSeparator" w:id="0">
    <w:p w14:paraId="185D3509" w14:textId="77777777" w:rsidR="00483F0E" w:rsidRDefault="00483F0E" w:rsidP="0030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183C8" w14:textId="77777777" w:rsidR="00483F0E" w:rsidRDefault="00483F0E" w:rsidP="00304FC0">
      <w:pPr>
        <w:spacing w:after="0" w:line="240" w:lineRule="auto"/>
      </w:pPr>
      <w:r>
        <w:separator/>
      </w:r>
    </w:p>
  </w:footnote>
  <w:footnote w:type="continuationSeparator" w:id="0">
    <w:p w14:paraId="2DC17B30" w14:textId="77777777" w:rsidR="00483F0E" w:rsidRDefault="00483F0E" w:rsidP="00304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B0FC0"/>
    <w:multiLevelType w:val="multilevel"/>
    <w:tmpl w:val="4176C82E"/>
    <w:styleLink w:val="TEStandard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288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432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16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7F2546D"/>
    <w:multiLevelType w:val="multilevel"/>
    <w:tmpl w:val="4176C82E"/>
    <w:numStyleLink w:val="TEStandard"/>
  </w:abstractNum>
  <w:abstractNum w:abstractNumId="2" w15:restartNumberingAfterBreak="0">
    <w:nsid w:val="64E90CFE"/>
    <w:multiLevelType w:val="multilevel"/>
    <w:tmpl w:val="8DEAE08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288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224" w:hanging="432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16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91F1EBD"/>
    <w:multiLevelType w:val="hybridMultilevel"/>
    <w:tmpl w:val="C9D0A390"/>
    <w:lvl w:ilvl="0" w:tplc="6590C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F4EAE"/>
    <w:multiLevelType w:val="multilevel"/>
    <w:tmpl w:val="4176C82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288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432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4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16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BE3146D"/>
    <w:multiLevelType w:val="hybridMultilevel"/>
    <w:tmpl w:val="BE38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4E"/>
    <w:rsid w:val="00007687"/>
    <w:rsid w:val="000164B9"/>
    <w:rsid w:val="00035883"/>
    <w:rsid w:val="0005553E"/>
    <w:rsid w:val="00066E62"/>
    <w:rsid w:val="000B66F4"/>
    <w:rsid w:val="000C1412"/>
    <w:rsid w:val="000C1CDD"/>
    <w:rsid w:val="000C6436"/>
    <w:rsid w:val="00102612"/>
    <w:rsid w:val="00116850"/>
    <w:rsid w:val="00125139"/>
    <w:rsid w:val="00132A49"/>
    <w:rsid w:val="0013371F"/>
    <w:rsid w:val="001373DB"/>
    <w:rsid w:val="00151636"/>
    <w:rsid w:val="001731C5"/>
    <w:rsid w:val="00173A92"/>
    <w:rsid w:val="00176722"/>
    <w:rsid w:val="0019789B"/>
    <w:rsid w:val="001B67E7"/>
    <w:rsid w:val="001F219C"/>
    <w:rsid w:val="00235977"/>
    <w:rsid w:val="00266B1F"/>
    <w:rsid w:val="002B1C7A"/>
    <w:rsid w:val="002D3988"/>
    <w:rsid w:val="002D711B"/>
    <w:rsid w:val="002E43FC"/>
    <w:rsid w:val="002F07BF"/>
    <w:rsid w:val="00304FC0"/>
    <w:rsid w:val="003153ED"/>
    <w:rsid w:val="00320240"/>
    <w:rsid w:val="00344834"/>
    <w:rsid w:val="00384DB6"/>
    <w:rsid w:val="003B4A36"/>
    <w:rsid w:val="003B7D32"/>
    <w:rsid w:val="00432C43"/>
    <w:rsid w:val="00451F5E"/>
    <w:rsid w:val="00460F4F"/>
    <w:rsid w:val="00462F5A"/>
    <w:rsid w:val="00483F0E"/>
    <w:rsid w:val="004C1111"/>
    <w:rsid w:val="00510BAB"/>
    <w:rsid w:val="00512DB1"/>
    <w:rsid w:val="00525C1D"/>
    <w:rsid w:val="00534440"/>
    <w:rsid w:val="005449AE"/>
    <w:rsid w:val="00553162"/>
    <w:rsid w:val="00554D34"/>
    <w:rsid w:val="005A0AF7"/>
    <w:rsid w:val="005B4EB0"/>
    <w:rsid w:val="005B5E72"/>
    <w:rsid w:val="005B6BC7"/>
    <w:rsid w:val="005B6C86"/>
    <w:rsid w:val="005C2E08"/>
    <w:rsid w:val="005D07AE"/>
    <w:rsid w:val="005D2563"/>
    <w:rsid w:val="00620CF0"/>
    <w:rsid w:val="00631675"/>
    <w:rsid w:val="00653325"/>
    <w:rsid w:val="006619FF"/>
    <w:rsid w:val="00666610"/>
    <w:rsid w:val="006A04E9"/>
    <w:rsid w:val="006A78E8"/>
    <w:rsid w:val="006E35F5"/>
    <w:rsid w:val="007213FF"/>
    <w:rsid w:val="00726AE6"/>
    <w:rsid w:val="00783314"/>
    <w:rsid w:val="00790FB2"/>
    <w:rsid w:val="00794383"/>
    <w:rsid w:val="00797FA3"/>
    <w:rsid w:val="007E1899"/>
    <w:rsid w:val="007F7EC8"/>
    <w:rsid w:val="008327BB"/>
    <w:rsid w:val="00845A4E"/>
    <w:rsid w:val="008A0DE9"/>
    <w:rsid w:val="008C3FF0"/>
    <w:rsid w:val="008F3209"/>
    <w:rsid w:val="009330E5"/>
    <w:rsid w:val="009417C4"/>
    <w:rsid w:val="00953C80"/>
    <w:rsid w:val="0097352F"/>
    <w:rsid w:val="009D3F72"/>
    <w:rsid w:val="009E4E47"/>
    <w:rsid w:val="00A0267C"/>
    <w:rsid w:val="00A13666"/>
    <w:rsid w:val="00A22C40"/>
    <w:rsid w:val="00A25905"/>
    <w:rsid w:val="00A5358C"/>
    <w:rsid w:val="00AA6F5F"/>
    <w:rsid w:val="00AA7E1C"/>
    <w:rsid w:val="00AC318C"/>
    <w:rsid w:val="00AE264F"/>
    <w:rsid w:val="00B00D72"/>
    <w:rsid w:val="00B17850"/>
    <w:rsid w:val="00B372DC"/>
    <w:rsid w:val="00B5140D"/>
    <w:rsid w:val="00B67211"/>
    <w:rsid w:val="00BA3E81"/>
    <w:rsid w:val="00BA6D91"/>
    <w:rsid w:val="00C04BAA"/>
    <w:rsid w:val="00C36B9D"/>
    <w:rsid w:val="00C478B7"/>
    <w:rsid w:val="00C8577F"/>
    <w:rsid w:val="00CD1B2D"/>
    <w:rsid w:val="00CF17D4"/>
    <w:rsid w:val="00CF7B39"/>
    <w:rsid w:val="00D07F37"/>
    <w:rsid w:val="00D107B1"/>
    <w:rsid w:val="00D95413"/>
    <w:rsid w:val="00DB4ECA"/>
    <w:rsid w:val="00DE466E"/>
    <w:rsid w:val="00DF3C85"/>
    <w:rsid w:val="00E44BFB"/>
    <w:rsid w:val="00E635BD"/>
    <w:rsid w:val="00E67B8D"/>
    <w:rsid w:val="00E7027E"/>
    <w:rsid w:val="00EF33CC"/>
    <w:rsid w:val="00F236ED"/>
    <w:rsid w:val="00F24479"/>
    <w:rsid w:val="00F26FCE"/>
    <w:rsid w:val="00F33AEF"/>
    <w:rsid w:val="00F5553F"/>
    <w:rsid w:val="00F56674"/>
    <w:rsid w:val="00F653B8"/>
    <w:rsid w:val="00F902BA"/>
    <w:rsid w:val="00FA3ADC"/>
    <w:rsid w:val="00FE31D6"/>
    <w:rsid w:val="00FF5AF6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7C22"/>
  <w15:chartTrackingRefBased/>
  <w15:docId w15:val="{8575629F-A8AE-47C8-BAF2-C51D13F2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83"/>
  </w:style>
  <w:style w:type="paragraph" w:styleId="Heading4">
    <w:name w:val="heading 4"/>
    <w:basedOn w:val="Normal"/>
    <w:link w:val="Heading4Char"/>
    <w:uiPriority w:val="9"/>
    <w:qFormat/>
    <w:rsid w:val="00A535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EStandard">
    <w:name w:val="TE Standard"/>
    <w:uiPriority w:val="99"/>
    <w:rsid w:val="00A22C40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32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C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C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6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C0"/>
  </w:style>
  <w:style w:type="paragraph" w:styleId="Footer">
    <w:name w:val="footer"/>
    <w:basedOn w:val="Normal"/>
    <w:link w:val="FooterChar"/>
    <w:uiPriority w:val="99"/>
    <w:unhideWhenUsed/>
    <w:rsid w:val="0030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C0"/>
  </w:style>
  <w:style w:type="table" w:styleId="TableGrid">
    <w:name w:val="Table Grid"/>
    <w:basedOn w:val="TableNormal"/>
    <w:uiPriority w:val="39"/>
    <w:rsid w:val="00FF7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5358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535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rkley.com/privacy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erkley.com/our-business/operating-uni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F6953BADC2348BA70E3FF96D01296" ma:contentTypeVersion="0" ma:contentTypeDescription="Create a new document." ma:contentTypeScope="" ma:versionID="78699af6d5e84840df2fc39a7803e6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D1CC5-C6B6-4C34-8642-1A518012C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1C14F-A918-45C9-A6A1-A45A6EF22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D1CB-733C-44D7-9EC6-5FA2043E5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W.R. Berkley Corporation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Elbert, Todd</dc:creator>
  <cp:keywords/>
  <dc:description/>
  <cp:lastModifiedBy>Voght, Chris</cp:lastModifiedBy>
  <cp:revision>2</cp:revision>
  <cp:lastPrinted>2019-12-17T20:29:00Z</cp:lastPrinted>
  <dcterms:created xsi:type="dcterms:W3CDTF">2019-12-31T22:44:00Z</dcterms:created>
  <dcterms:modified xsi:type="dcterms:W3CDTF">2019-12-31T22:44:00Z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0x0101009E5F6953BADC2348BA70E3FF96D01296</vt:lpwstr>
  </property>
</Properties>
</file>